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01521" w:rsidRPr="002808D9" w:rsidRDefault="002808D9" w:rsidP="002808D9">
      <w:pPr>
        <w:jc w:val="center"/>
        <w:rPr>
          <w:b/>
          <w:sz w:val="24"/>
          <w:szCs w:val="24"/>
        </w:rPr>
      </w:pPr>
      <w:r w:rsidRPr="002808D9">
        <w:rPr>
          <w:b/>
          <w:sz w:val="24"/>
          <w:szCs w:val="24"/>
        </w:rPr>
        <w:t>SYSTEM SECURITY/PCI COMPLIANCE</w:t>
      </w:r>
    </w:p>
    <w:p w:rsidR="002808D9" w:rsidRDefault="002808D9" w:rsidP="002808D9">
      <w:r>
        <w:t>•</w:t>
      </w:r>
      <w:r>
        <w:t xml:space="preserve">The Contractor must obtain and maintain current and ongoing PCI Level 1 Service Provider status or equivalent (obtain PCI compliance validation by a QSA). Proposers cannot base their compliance of this </w:t>
      </w:r>
      <w:bookmarkStart w:id="0" w:name="_GoBack"/>
      <w:r>
        <w:t xml:space="preserve">requirement on the PCI Service Provider status of the integrated credit card payment processor, which </w:t>
      </w:r>
      <w:bookmarkEnd w:id="0"/>
      <w:r>
        <w:t>for the Ticket Office is currently Titan and Converge. The Contractor must have its own separate Level 1 Service Provider or equivalent certification.</w:t>
      </w:r>
    </w:p>
    <w:p w:rsidR="002808D9" w:rsidRDefault="002808D9" w:rsidP="002808D9">
      <w:r>
        <w:t>•</w:t>
      </w:r>
      <w:r>
        <w:t>The Contractor shall:</w:t>
      </w:r>
    </w:p>
    <w:p w:rsidR="002808D9" w:rsidRDefault="002808D9" w:rsidP="002808D9">
      <w:r>
        <w:t>•</w:t>
      </w:r>
      <w:r>
        <w:t>Guarantee a continuous state of compliance with PCI standards and requirements, and</w:t>
      </w:r>
    </w:p>
    <w:p w:rsidR="002808D9" w:rsidRDefault="002808D9" w:rsidP="002808D9">
      <w:r>
        <w:t>•Define PCI requirement(s) responsibilities of each party to the contract.</w:t>
      </w:r>
    </w:p>
    <w:p w:rsidR="002808D9" w:rsidRDefault="002808D9" w:rsidP="002808D9">
      <w:r>
        <w:t>•</w:t>
      </w:r>
      <w:r>
        <w:t>The platform shall support TLS 1.2 or higher network encryption with strong ciphers from the browser through the routing layer to the target app environment.</w:t>
      </w:r>
    </w:p>
    <w:p w:rsidR="002808D9" w:rsidRDefault="002808D9" w:rsidP="002808D9">
      <w:r>
        <w:t>•</w:t>
      </w:r>
      <w:r>
        <w:t xml:space="preserve">Provide a security level overview and infrastructure of the hosting facility </w:t>
      </w:r>
    </w:p>
    <w:p w:rsidR="002808D9" w:rsidRDefault="002808D9" w:rsidP="002808D9">
      <w:r>
        <w:t>•</w:t>
      </w:r>
      <w:r>
        <w:t>Outline your Secure Socket Layer (SSL) Encryption security for the transmission of data</w:t>
      </w:r>
    </w:p>
    <w:p w:rsidR="002808D9" w:rsidRDefault="002808D9" w:rsidP="002808D9">
      <w:r>
        <w:t>•</w:t>
      </w:r>
      <w:r>
        <w:t>Vendors must provide evidence of adequate information security measures to protect the confidentiality, integrity, and availability of the university’s data. Such measures are typically demonstrated by a SOC 2 report</w:t>
      </w:r>
    </w:p>
    <w:sectPr w:rsidR="002808D9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808D9"/>
    <w:rsid w:val="002808D9"/>
    <w:rsid w:val="00B015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65BEF82"/>
  <w15:chartTrackingRefBased/>
  <w15:docId w15:val="{66363434-36BE-44C3-9189-D41051A2C72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181</Words>
  <Characters>1034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Stephen W. Pass</dc:creator>
  <cp:keywords/>
  <dc:description/>
  <cp:lastModifiedBy>Stephen W. Pass</cp:lastModifiedBy>
  <cp:revision>1</cp:revision>
  <dcterms:created xsi:type="dcterms:W3CDTF">2020-10-16T15:23:00Z</dcterms:created>
  <dcterms:modified xsi:type="dcterms:W3CDTF">2020-10-16T15:26:00Z</dcterms:modified>
</cp:coreProperties>
</file>